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750B2" w:rsidRDefault="000615E1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CURSO DE EXECUÇÃO FISCAL DE MULTAS ELEITORAIS</w:t>
      </w:r>
    </w:p>
    <w:p w14:paraId="00000002" w14:textId="77777777" w:rsidR="002750B2" w:rsidRDefault="002750B2">
      <w:pPr>
        <w:spacing w:line="360" w:lineRule="auto"/>
        <w:jc w:val="both"/>
        <w:rPr>
          <w:b/>
          <w:sz w:val="24"/>
          <w:szCs w:val="24"/>
        </w:rPr>
      </w:pPr>
    </w:p>
    <w:p w14:paraId="00000003" w14:textId="77777777" w:rsidR="002750B2" w:rsidRDefault="000615E1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EXERCÍCIO 1:</w:t>
      </w:r>
    </w:p>
    <w:p w14:paraId="00000004" w14:textId="77777777" w:rsidR="002750B2" w:rsidRDefault="000615E1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 partir do relatório abaixo, apresente a solução jurídica que entenda adequada. Considere provados os fatos.</w:t>
      </w:r>
    </w:p>
    <w:p w14:paraId="00000005" w14:textId="77777777" w:rsidR="002750B2" w:rsidRDefault="000615E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 Ministério Público Eleitoral ajuizou 4 (quatro) representações contra José da Silva ao argumento de que o réu praticou propaganda eleitoral exte</w:t>
      </w:r>
      <w:r>
        <w:rPr>
          <w:sz w:val="24"/>
          <w:szCs w:val="24"/>
        </w:rPr>
        <w:t>mporânea, atraindo a multa do art. 36, §3º, da Lei n. 9.504/97. As multas somadas alcançaram uma condenação de R$ 70.000,00 (setenta mil reais). A decisão transitou em julgado. A Justiça Eleitoral intimou, pela via postal, o infrator para pagamento da mult</w:t>
      </w:r>
      <w:r>
        <w:rPr>
          <w:sz w:val="24"/>
          <w:szCs w:val="24"/>
        </w:rPr>
        <w:t xml:space="preserve">a, encaminhando a intimação para o endereço constante nos autos. O AR voltou sem cumprimento com a informação “não reside no local”. O juiz eleitoral determinou diligência por oficial de justiça que, por sua vez, certificou que o réu não mais residia ali. </w:t>
      </w:r>
      <w:r>
        <w:rPr>
          <w:sz w:val="24"/>
          <w:szCs w:val="24"/>
        </w:rPr>
        <w:t>Feitas as pesquisas pelos sistemas disponíveis (SIEL e SISBAJUD), não foram identificados outros endereços conhecidos do réu. Após tudo certificado, a Justiça Eleitoral cientificou a Fazenda Nacional que, ato contínuo, efetivou a inscrição do débito na dív</w:t>
      </w:r>
      <w:r>
        <w:rPr>
          <w:sz w:val="24"/>
          <w:szCs w:val="24"/>
        </w:rPr>
        <w:t>ida ativa e ajuizou a execução fiscal. Despachada a inicial, o réu não foi localizado e, consequentemente, citado por edital com prazo de 30 dias. Feito o arresto pelo SISBAJUD, houve sucesso no bloqueio de R$ 70.000,00 (setenta mil reais). Diante do bloqu</w:t>
      </w:r>
      <w:r>
        <w:rPr>
          <w:sz w:val="24"/>
          <w:szCs w:val="24"/>
        </w:rPr>
        <w:t>eio de sua aplicação financeira, o réu apresentou embargos tempestivamente e alegou, preliminarmente, ilegitimidade passiva, uma vez que o autor da propaganda ilícita foi um adversário político, não tendo sido comprovado que o réu teve prévia ciência do fa</w:t>
      </w:r>
      <w:r>
        <w:rPr>
          <w:sz w:val="24"/>
          <w:szCs w:val="24"/>
        </w:rPr>
        <w:t>to. Também alegou cerceamento de  defesa, pois entende que a sua não intimação pessoal, pela Justiça Eleitoral, para pagar a multa impediria que a Fazenda Pública fizesse a inscrição na dívida ativa. Entende que a falta de intimação por edital pelo Juiz El</w:t>
      </w:r>
      <w:r>
        <w:rPr>
          <w:sz w:val="24"/>
          <w:szCs w:val="24"/>
        </w:rPr>
        <w:t xml:space="preserve">eitoral (CPC, art. 275, §2º) contamina de nulidade todo o procedimento administrativo na PFN. No mérito, alega excesso de execução, pois a SELIC, sendo um índice que é alterado com frequência pelo Banco Central, retira a liquidez do título. A PFN impugnou </w:t>
      </w:r>
      <w:r>
        <w:rPr>
          <w:sz w:val="24"/>
          <w:szCs w:val="24"/>
        </w:rPr>
        <w:t>os embargos resumindo-se a dizer que não havia ilegalidade e que o executado tinha o ônus de manter seu endereço atualizado, na forma do art. 274, parágrafo único, do CPC. Os autos estão conclusos para sentença.</w:t>
      </w:r>
    </w:p>
    <w:sectPr w:rsidR="002750B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0B2"/>
    <w:rsid w:val="000615E1"/>
    <w:rsid w:val="0027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2997F-6E92-4C3A-B2A1-2099AE7D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 Eyer Nakahati</dc:creator>
  <cp:lastModifiedBy>Janis Eyer Nakahati</cp:lastModifiedBy>
  <cp:revision>2</cp:revision>
  <dcterms:created xsi:type="dcterms:W3CDTF">2021-08-17T14:18:00Z</dcterms:created>
  <dcterms:modified xsi:type="dcterms:W3CDTF">2021-08-17T14:18:00Z</dcterms:modified>
</cp:coreProperties>
</file>